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方正小标宋简体" w:eastAsia="方正小标宋简体"/>
          <w:color w:val="auto"/>
          <w:sz w:val="36"/>
          <w:szCs w:val="36"/>
        </w:rPr>
      </w:pPr>
    </w:p>
    <w:p>
      <w:pPr>
        <w:spacing w:line="560" w:lineRule="exact"/>
        <w:jc w:val="center"/>
        <w:rPr>
          <w:rFonts w:ascii="方正小标宋简体" w:eastAsia="方正小标宋简体"/>
          <w:color w:val="auto"/>
          <w:sz w:val="36"/>
          <w:szCs w:val="36"/>
        </w:rPr>
      </w:pPr>
      <w:r>
        <w:rPr>
          <w:rFonts w:hint="eastAsia" w:ascii="方正小标宋简体" w:eastAsia="方正小标宋简体"/>
          <w:color w:val="auto"/>
          <w:sz w:val="36"/>
          <w:szCs w:val="36"/>
        </w:rPr>
        <w:t>部门整体绩效评价报告</w:t>
      </w:r>
    </w:p>
    <w:p>
      <w:pPr>
        <w:jc w:val="center"/>
        <w:rPr>
          <w:rFonts w:ascii="仿宋_GB2312"/>
          <w:color w:val="auto"/>
          <w:szCs w:val="30"/>
        </w:rPr>
      </w:pPr>
    </w:p>
    <w:p>
      <w:pPr>
        <w:spacing w:line="600" w:lineRule="exact"/>
        <w:ind w:firstLine="640" w:firstLineChars="200"/>
        <w:rPr>
          <w:rFonts w:ascii="黑体" w:hAnsi="黑体" w:eastAsia="黑体" w:cs="宋体"/>
          <w:color w:val="auto"/>
          <w:kern w:val="0"/>
          <w:sz w:val="32"/>
          <w:szCs w:val="32"/>
        </w:rPr>
      </w:pPr>
      <w:r>
        <w:rPr>
          <w:rFonts w:hint="eastAsia" w:ascii="黑体" w:hAnsi="黑体" w:eastAsia="黑体" w:cs="宋体"/>
          <w:color w:val="auto"/>
          <w:kern w:val="0"/>
          <w:sz w:val="32"/>
          <w:szCs w:val="32"/>
        </w:rPr>
        <w:t>一、部门概况</w:t>
      </w:r>
    </w:p>
    <w:p>
      <w:pPr>
        <w:spacing w:line="600" w:lineRule="exact"/>
        <w:ind w:firstLine="640" w:firstLineChars="200"/>
        <w:rPr>
          <w:rFonts w:hint="eastAsia" w:ascii="楷体_GB2312" w:eastAsia="楷体_GB2312"/>
          <w:color w:val="auto"/>
          <w:sz w:val="32"/>
          <w:szCs w:val="32"/>
          <w:highlight w:val="none"/>
        </w:rPr>
      </w:pPr>
      <w:r>
        <w:rPr>
          <w:rFonts w:hint="eastAsia" w:ascii="楷体_GB2312" w:eastAsia="楷体_GB2312"/>
          <w:color w:val="auto"/>
          <w:sz w:val="32"/>
          <w:szCs w:val="32"/>
          <w:highlight w:val="none"/>
        </w:rPr>
        <w:t>（一）机构设置及职责工作任务情况</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北京市朝阳区机构改革方案》和《北京市朝阳区街道机构改革实施方案》，设立北京市朝阳区人民政府小关街道办事处。设置六个办公室、纪检监察机构和综合行政执法队，分别为综合办公室、党群工作办公室、平安建设办公室、城市管理办公室、社区建设办公室、民生保障办公室、纪检监察组、综合行政执法队；所属3家事业单位，分别为便民服务中心（退役军人服务站）、市民活动中心（党群活动中心）、市民诉求处置中心（综治中心）。</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主要职责是：</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贯彻执行党的路线、方针、政策和国家的法律法规，执行上级国家行政机关的决定、命令和指示。</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贯彻落实街道工委研究制定的辖区发展规划、工作目标和任务，对重大事项提出意见和建议。</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负责区属次干路、居民区、街巷胡同的环境卫生和绿化美化的管理工作，组织辖区单位和居民开展爱国卫生运动，落实“门前三包”责任制。</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组织和监督对违法建筑、违法占用道路、无照摊群以及违反市容环境卫生、绿化管理规定行为的查处工作。</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配合有关部门做好节水、人防、环保等工作的监督。</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协同建设主管部门监督施工单位依法施工，防止施工扬尘，防止扰民。配合建设单位、施工单位做好居民工作，维护施工秩序。</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对居住小区的物业管理工作进行指导和监督检查。</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制定本辖区社会治安综合治理、防火、交通安全工作计划，并组织实施。</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配合有关部门做好外地来京人员以及向外地来京人员出租房屋的综合管理工作。</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负责婚姻登记管理，计划生育、统计、红十字会、民事调解工作。</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协调配合有关部门做好劳动就业、劳动力管理、劳动监察和社会保险工作。</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保障少数民族、妇女、未成年人、老年人和残疾人的合法权益。兴办社会福利事业，做好社会救助工作。</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负责拥军优属、民兵预备役、征兵和国防教育工作。</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负责制定社区服务发展规划，发展社区服务设施，合理配置社区服务资源。</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指导和协调社区居委会工作，规范社区工作职责，反映居民的意见和要求。</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组织辖区单位和居民开展多种形式的社会主义精神文明创建活动。</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组织社区服务志愿者队伍，动员单位和居民兴办社区服务事业，培育和发展社区中介组织。</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组织开展群众性的文化、体育活动和社区教育、卫生工作，普及科学常识。</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对居民进行法制和社会公德教育，组织居民参与社区环境整治等社会公益活动。</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承办区政府交办的其他事项。</w:t>
      </w:r>
    </w:p>
    <w:p>
      <w:pPr>
        <w:numPr>
          <w:ilvl w:val="0"/>
          <w:numId w:val="1"/>
        </w:numPr>
        <w:spacing w:line="60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部门整体绩效目标设立情况</w:t>
      </w:r>
    </w:p>
    <w:p>
      <w:pPr>
        <w:numPr>
          <w:ilvl w:val="0"/>
          <w:numId w:val="0"/>
        </w:numPr>
        <w:spacing w:line="600" w:lineRule="exact"/>
        <w:ind w:firstLine="640" w:firstLineChars="200"/>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b w:val="0"/>
          <w:color w:val="auto"/>
          <w:kern w:val="2"/>
          <w:sz w:val="32"/>
          <w:szCs w:val="32"/>
          <w:highlight w:val="none"/>
          <w:lang w:val="en-US" w:eastAsia="zh-CN" w:bidi="ar-SA"/>
        </w:rPr>
        <w:t>结合街道工委办事处的核心任务与实际状况，确立全面且切实可行的整体绩效目标：坚决贯彻落实区委区政府的各项工作部署，在上级部门的精准指导下，充分发挥党建引领作用，高效且高质量地完成各项既定职能工作。深化公共服务，全力改善民生，围绕居民需求，提升服务质量与覆盖范围；强化社会管理，维护辖区稳定，积极排查化解各类风险隐患，确保社会秩序井然；精耕环境建设，精心营造良好氛围，从环境卫生等方面入手，打造宜居宜业环境。同时，稳步推进基层建设，夯实发展根基，全面促进社会和谐。</w:t>
      </w:r>
    </w:p>
    <w:p>
      <w:pPr>
        <w:numPr>
          <w:ilvl w:val="0"/>
          <w:numId w:val="0"/>
        </w:numPr>
        <w:spacing w:line="600" w:lineRule="exact"/>
        <w:ind w:firstLine="640" w:firstLineChars="200"/>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b w:val="0"/>
          <w:color w:val="auto"/>
          <w:kern w:val="2"/>
          <w:sz w:val="32"/>
          <w:szCs w:val="32"/>
          <w:highlight w:val="none"/>
          <w:lang w:val="en-US" w:eastAsia="zh-CN" w:bidi="ar-SA"/>
        </w:rPr>
        <w:t>设立的整体绩效目标与职责任务相匹配，目标合理。</w:t>
      </w:r>
    </w:p>
    <w:p>
      <w:pPr>
        <w:spacing w:line="600" w:lineRule="exact"/>
        <w:ind w:firstLine="640" w:firstLineChars="200"/>
        <w:rPr>
          <w:rFonts w:ascii="黑体" w:hAnsi="黑体" w:eastAsia="黑体" w:cs="宋体"/>
          <w:color w:val="auto"/>
          <w:kern w:val="0"/>
          <w:sz w:val="32"/>
          <w:szCs w:val="32"/>
        </w:rPr>
      </w:pPr>
      <w:r>
        <w:rPr>
          <w:rFonts w:hint="eastAsia" w:ascii="黑体" w:hAnsi="黑体" w:eastAsia="黑体" w:cs="宋体"/>
          <w:color w:val="auto"/>
          <w:kern w:val="0"/>
          <w:sz w:val="32"/>
          <w:szCs w:val="32"/>
        </w:rPr>
        <w:t>二</w:t>
      </w:r>
      <w:r>
        <w:rPr>
          <w:rFonts w:ascii="黑体" w:hAnsi="黑体" w:eastAsia="黑体" w:cs="宋体"/>
          <w:color w:val="auto"/>
          <w:kern w:val="0"/>
          <w:sz w:val="32"/>
          <w:szCs w:val="32"/>
        </w:rPr>
        <w:t>、</w:t>
      </w:r>
      <w:r>
        <w:rPr>
          <w:rFonts w:hint="eastAsia" w:ascii="黑体" w:hAnsi="黑体" w:eastAsia="黑体" w:cs="宋体"/>
          <w:color w:val="auto"/>
          <w:kern w:val="0"/>
          <w:sz w:val="32"/>
          <w:szCs w:val="32"/>
        </w:rPr>
        <w:t>当年</w:t>
      </w:r>
      <w:r>
        <w:rPr>
          <w:rFonts w:ascii="黑体" w:hAnsi="黑体" w:eastAsia="黑体" w:cs="宋体"/>
          <w:color w:val="auto"/>
          <w:kern w:val="0"/>
          <w:sz w:val="32"/>
          <w:szCs w:val="32"/>
        </w:rPr>
        <w:t>预算执行情况</w:t>
      </w:r>
    </w:p>
    <w:p>
      <w:pPr>
        <w:spacing w:line="60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年全</w:t>
      </w:r>
      <w:r>
        <w:rPr>
          <w:rFonts w:ascii="仿宋_GB2312" w:hAnsi="宋体" w:eastAsia="仿宋_GB2312" w:cs="宋体"/>
          <w:color w:val="auto"/>
          <w:kern w:val="0"/>
          <w:sz w:val="32"/>
          <w:szCs w:val="32"/>
        </w:rPr>
        <w:t>年</w:t>
      </w:r>
      <w:r>
        <w:rPr>
          <w:rFonts w:hint="eastAsia" w:ascii="仿宋_GB2312" w:hAnsi="宋体" w:eastAsia="仿宋_GB2312" w:cs="宋体"/>
          <w:color w:val="auto"/>
          <w:kern w:val="0"/>
          <w:sz w:val="32"/>
          <w:szCs w:val="32"/>
        </w:rPr>
        <w:t>预算数</w:t>
      </w:r>
      <w:r>
        <w:rPr>
          <w:rFonts w:hint="eastAsia" w:ascii="仿宋_GB2312" w:hAnsi="宋体" w:eastAsia="仿宋_GB2312" w:cs="宋体"/>
          <w:color w:val="auto"/>
          <w:kern w:val="0"/>
          <w:sz w:val="32"/>
          <w:szCs w:val="32"/>
          <w:lang w:val="en-US" w:eastAsia="zh-CN"/>
        </w:rPr>
        <w:t>16482.18</w:t>
      </w:r>
      <w:r>
        <w:rPr>
          <w:rFonts w:hint="eastAsia" w:ascii="仿宋_GB2312" w:hAnsi="宋体" w:eastAsia="仿宋_GB2312" w:cs="宋体"/>
          <w:color w:val="auto"/>
          <w:kern w:val="0"/>
          <w:sz w:val="32"/>
          <w:szCs w:val="32"/>
        </w:rPr>
        <w:t>万元</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其中</w:t>
      </w:r>
      <w:r>
        <w:rPr>
          <w:rFonts w:ascii="仿宋_GB2312" w:hAnsi="宋体" w:eastAsia="仿宋_GB2312" w:cs="宋体"/>
          <w:color w:val="auto"/>
          <w:kern w:val="0"/>
          <w:sz w:val="32"/>
          <w:szCs w:val="32"/>
        </w:rPr>
        <w:t>，基本</w:t>
      </w:r>
      <w:r>
        <w:rPr>
          <w:rFonts w:hint="eastAsia" w:ascii="仿宋_GB2312" w:hAnsi="宋体" w:eastAsia="仿宋_GB2312" w:cs="宋体"/>
          <w:color w:val="auto"/>
          <w:kern w:val="0"/>
          <w:sz w:val="32"/>
          <w:szCs w:val="32"/>
        </w:rPr>
        <w:t>支出</w:t>
      </w:r>
      <w:r>
        <w:rPr>
          <w:rFonts w:ascii="仿宋_GB2312" w:hAnsi="宋体" w:eastAsia="仿宋_GB2312" w:cs="宋体"/>
          <w:color w:val="auto"/>
          <w:kern w:val="0"/>
          <w:sz w:val="32"/>
          <w:szCs w:val="32"/>
        </w:rPr>
        <w:t>预算数</w:t>
      </w:r>
      <w:r>
        <w:rPr>
          <w:rFonts w:hint="eastAsia" w:ascii="仿宋_GB2312" w:hAnsi="仿宋" w:eastAsia="仿宋_GB2312"/>
          <w:color w:val="auto"/>
          <w:sz w:val="32"/>
          <w:lang w:val="en-US" w:eastAsia="zh-CN"/>
        </w:rPr>
        <w:t>4390.73</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项目支出预算数</w:t>
      </w:r>
      <w:r>
        <w:rPr>
          <w:rFonts w:hint="eastAsia" w:ascii="仿宋_GB2312" w:hAnsi="仿宋" w:eastAsia="仿宋_GB2312"/>
          <w:color w:val="auto"/>
          <w:sz w:val="32"/>
          <w:lang w:val="en-US" w:eastAsia="zh-CN"/>
        </w:rPr>
        <w:t>12091.45</w:t>
      </w:r>
      <w:r>
        <w:rPr>
          <w:rFonts w:ascii="仿宋_GB2312" w:hAnsi="宋体" w:eastAsia="仿宋_GB2312" w:cs="宋体"/>
          <w:color w:val="auto"/>
          <w:kern w:val="0"/>
          <w:sz w:val="32"/>
          <w:szCs w:val="32"/>
        </w:rPr>
        <w:t>万元，其他支出</w:t>
      </w:r>
      <w:r>
        <w:rPr>
          <w:rFonts w:hint="eastAsia" w:ascii="仿宋_GB2312" w:hAnsi="宋体" w:eastAsia="仿宋_GB2312" w:cs="宋体"/>
          <w:color w:val="auto"/>
          <w:kern w:val="0"/>
          <w:sz w:val="32"/>
          <w:szCs w:val="32"/>
        </w:rPr>
        <w:t>预算数</w:t>
      </w:r>
      <w:r>
        <w:rPr>
          <w:rFonts w:hint="eastAsia" w:ascii="仿宋_GB2312" w:hAnsi="宋体" w:eastAsia="仿宋_GB2312" w:cs="宋体"/>
          <w:color w:val="auto"/>
          <w:kern w:val="0"/>
          <w:sz w:val="32"/>
          <w:szCs w:val="32"/>
          <w:lang w:val="en-US" w:eastAsia="zh-CN"/>
        </w:rPr>
        <w:t>0</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w:t>
      </w:r>
      <w:r>
        <w:rPr>
          <w:rFonts w:hint="eastAsia" w:ascii="仿宋_GB2312" w:hAnsi="仿宋" w:eastAsia="仿宋_GB2312"/>
          <w:color w:val="auto"/>
          <w:sz w:val="32"/>
        </w:rPr>
        <w:t>资金总体支出16480.35万元，其中，基本支出4390.73万元，项目支出12089.62万元，其他支出</w:t>
      </w:r>
      <w:r>
        <w:rPr>
          <w:rFonts w:hint="eastAsia" w:ascii="仿宋_GB2312" w:hAnsi="仿宋" w:eastAsia="仿宋_GB2312"/>
          <w:color w:val="auto"/>
          <w:sz w:val="32"/>
          <w:lang w:val="en-US" w:eastAsia="zh-CN"/>
        </w:rPr>
        <w:t>0</w:t>
      </w:r>
      <w:r>
        <w:rPr>
          <w:rFonts w:hint="eastAsia" w:ascii="仿宋_GB2312" w:hAnsi="仿宋" w:eastAsia="仿宋_GB2312"/>
          <w:color w:val="auto"/>
          <w:sz w:val="32"/>
        </w:rPr>
        <w:t>万元。预算执行率为</w:t>
      </w:r>
      <w:r>
        <w:rPr>
          <w:rFonts w:hint="eastAsia" w:ascii="仿宋_GB2312" w:hAnsi="仿宋" w:eastAsia="仿宋_GB2312"/>
          <w:color w:val="auto"/>
          <w:sz w:val="32"/>
          <w:lang w:val="en-US" w:eastAsia="zh-CN"/>
        </w:rPr>
        <w:t>99.99%</w:t>
      </w:r>
      <w:r>
        <w:rPr>
          <w:rFonts w:hint="eastAsia" w:ascii="仿宋_GB2312" w:hAnsi="仿宋" w:eastAsia="仿宋_GB2312"/>
          <w:color w:val="auto"/>
          <w:sz w:val="32"/>
        </w:rPr>
        <w:t>。</w:t>
      </w:r>
    </w:p>
    <w:p>
      <w:pPr>
        <w:spacing w:line="600" w:lineRule="exact"/>
        <w:ind w:left="105" w:leftChars="50" w:firstLine="480" w:firstLineChars="150"/>
        <w:rPr>
          <w:rFonts w:ascii="黑体" w:hAnsi="黑体" w:eastAsia="黑体" w:cs="宋体"/>
          <w:color w:val="auto"/>
          <w:kern w:val="0"/>
          <w:sz w:val="32"/>
          <w:szCs w:val="32"/>
        </w:rPr>
      </w:pPr>
      <w:r>
        <w:rPr>
          <w:rFonts w:hint="eastAsia" w:ascii="黑体" w:hAnsi="黑体" w:eastAsia="黑体" w:cs="宋体"/>
          <w:color w:val="auto"/>
          <w:kern w:val="0"/>
          <w:sz w:val="32"/>
          <w:szCs w:val="32"/>
        </w:rPr>
        <w:t>三</w:t>
      </w:r>
      <w:r>
        <w:rPr>
          <w:rFonts w:ascii="黑体" w:hAnsi="黑体" w:eastAsia="黑体" w:cs="宋体"/>
          <w:color w:val="auto"/>
          <w:kern w:val="0"/>
          <w:sz w:val="32"/>
          <w:szCs w:val="32"/>
        </w:rPr>
        <w:t>、整体绩效目标实现情况</w:t>
      </w:r>
    </w:p>
    <w:p>
      <w:pPr>
        <w:spacing w:line="600" w:lineRule="exact"/>
        <w:ind w:left="105" w:leftChars="50" w:firstLine="480" w:firstLineChars="150"/>
        <w:rPr>
          <w:rFonts w:ascii="楷体_GB2312" w:eastAsia="楷体_GB2312"/>
          <w:color w:val="auto"/>
          <w:sz w:val="32"/>
          <w:szCs w:val="32"/>
        </w:rPr>
      </w:pPr>
      <w:r>
        <w:rPr>
          <w:rFonts w:hint="eastAsia" w:ascii="楷体_GB2312" w:eastAsia="楷体_GB2312"/>
          <w:color w:val="auto"/>
          <w:sz w:val="32"/>
          <w:szCs w:val="32"/>
        </w:rPr>
        <w:t>（一）产出完成情况分析</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textAlignment w:val="auto"/>
        <w:outlineLvl w:val="9"/>
        <w:rPr>
          <w:rFonts w:ascii="仿宋_GB2312" w:hAnsi="宋体" w:eastAsia="仿宋_GB2312" w:cs="宋体"/>
          <w:color w:val="auto"/>
          <w:kern w:val="0"/>
          <w:sz w:val="32"/>
          <w:szCs w:val="32"/>
          <w:highlight w:val="green"/>
        </w:rPr>
      </w:pPr>
      <w:r>
        <w:rPr>
          <w:rFonts w:hint="eastAsia" w:ascii="仿宋_GB2312" w:hAnsi="宋体" w:eastAsia="仿宋_GB2312" w:cs="宋体"/>
          <w:color w:val="auto"/>
          <w:kern w:val="0"/>
          <w:sz w:val="32"/>
          <w:szCs w:val="32"/>
          <w:highlight w:val="none"/>
        </w:rPr>
        <w:t>全面履行</w:t>
      </w:r>
      <w:r>
        <w:rPr>
          <w:rFonts w:hint="eastAsia" w:ascii="仿宋_GB2312" w:hAnsi="宋体" w:eastAsia="仿宋_GB2312" w:cs="宋体"/>
          <w:color w:val="auto"/>
          <w:kern w:val="0"/>
          <w:sz w:val="32"/>
          <w:szCs w:val="32"/>
          <w:highlight w:val="none"/>
          <w:lang w:eastAsia="zh-CN"/>
        </w:rPr>
        <w:t>了街道办事处的各项主体</w:t>
      </w:r>
      <w:r>
        <w:rPr>
          <w:rFonts w:hint="eastAsia" w:ascii="仿宋_GB2312" w:hAnsi="宋体" w:eastAsia="仿宋_GB2312" w:cs="宋体"/>
          <w:color w:val="auto"/>
          <w:kern w:val="0"/>
          <w:sz w:val="32"/>
          <w:szCs w:val="32"/>
          <w:highlight w:val="none"/>
        </w:rPr>
        <w:t>职能，有力保障了</w:t>
      </w:r>
      <w:r>
        <w:rPr>
          <w:rFonts w:hint="eastAsia" w:ascii="仿宋_GB2312" w:hAnsi="宋体" w:eastAsia="仿宋_GB2312" w:cs="宋体"/>
          <w:color w:val="auto"/>
          <w:kern w:val="0"/>
          <w:sz w:val="32"/>
          <w:szCs w:val="32"/>
          <w:highlight w:val="none"/>
          <w:lang w:eastAsia="zh-CN"/>
        </w:rPr>
        <w:t>街道各项建设事业工作的有序开展，确保各项工作按时完成。预期设定的产出指标、效益指标、成本指标、满意度指标等指标较为科学合理，在细化的指标管理上做到了高标准要求、指标达标、规划合理等，各方面的落实情况良好，均达成预期绩效目标，切实推动了街道各项事业发展。</w:t>
      </w:r>
    </w:p>
    <w:p>
      <w:pPr>
        <w:numPr>
          <w:ilvl w:val="0"/>
          <w:numId w:val="2"/>
        </w:numPr>
        <w:spacing w:line="600" w:lineRule="exact"/>
        <w:ind w:left="105" w:leftChars="50" w:firstLine="480" w:firstLineChars="150"/>
        <w:rPr>
          <w:rFonts w:ascii="楷体_GB2312" w:eastAsia="楷体_GB2312"/>
          <w:color w:val="auto"/>
          <w:sz w:val="32"/>
          <w:szCs w:val="32"/>
        </w:rPr>
      </w:pPr>
      <w:r>
        <w:rPr>
          <w:rFonts w:hint="eastAsia" w:ascii="楷体_GB2312" w:eastAsia="楷体_GB2312"/>
          <w:color w:val="auto"/>
          <w:sz w:val="32"/>
          <w:szCs w:val="32"/>
        </w:rPr>
        <w:t>效果</w:t>
      </w:r>
      <w:r>
        <w:rPr>
          <w:rFonts w:ascii="楷体_GB2312" w:eastAsia="楷体_GB2312"/>
          <w:color w:val="auto"/>
          <w:sz w:val="32"/>
          <w:szCs w:val="32"/>
        </w:rPr>
        <w:t>实现情况分析</w:t>
      </w:r>
    </w:p>
    <w:p>
      <w:pPr>
        <w:numPr>
          <w:ilvl w:val="0"/>
          <w:numId w:val="0"/>
        </w:numPr>
        <w:spacing w:line="600" w:lineRule="exact"/>
        <w:ind w:firstLine="640" w:firstLineChars="200"/>
        <w:rPr>
          <w:rFonts w:hint="eastAsia"/>
          <w:color w:val="auto"/>
          <w:lang w:eastAsia="zh-CN"/>
        </w:rPr>
      </w:pPr>
      <w:r>
        <w:rPr>
          <w:rFonts w:hint="eastAsia" w:ascii="仿宋_GB2312" w:hAnsi="宋体" w:eastAsia="仿宋_GB2312" w:cs="宋体"/>
          <w:b w:val="0"/>
          <w:color w:val="auto"/>
          <w:kern w:val="0"/>
          <w:sz w:val="32"/>
          <w:szCs w:val="32"/>
          <w:highlight w:val="none"/>
          <w:lang w:val="en-US" w:eastAsia="zh-CN" w:bidi="ar-SA"/>
        </w:rPr>
        <w:t>围绕各项工作任务的既定目标，紧密贴合群众实际需求，不断从公共服务体系建设，社区环境整治、民生服务保障等方面推动地区建设，推进预算的执行与实施工作，促进地区各项事业的蓬勃发展。在绩效目标设定方面，充分考量社会效益与服务对象满意度等关键指标，确保目标既科学合理，又切实可行。前期设定的绩效目标均已如期达成，取得了良好的预期效果，实现了服务对象的高度认可与满意，为推动社会的和谐发展贡献了积极力量。</w:t>
      </w:r>
    </w:p>
    <w:p>
      <w:pPr>
        <w:spacing w:line="600" w:lineRule="exact"/>
        <w:ind w:left="105" w:leftChars="50" w:firstLine="480" w:firstLineChars="150"/>
        <w:rPr>
          <w:rFonts w:ascii="黑体" w:hAnsi="黑体" w:eastAsia="黑体" w:cs="宋体"/>
          <w:color w:val="auto"/>
          <w:kern w:val="0"/>
          <w:sz w:val="32"/>
          <w:szCs w:val="32"/>
        </w:rPr>
      </w:pPr>
      <w:r>
        <w:rPr>
          <w:rFonts w:hint="eastAsia" w:ascii="黑体" w:hAnsi="黑体" w:eastAsia="黑体" w:cs="宋体"/>
          <w:color w:val="auto"/>
          <w:kern w:val="0"/>
          <w:sz w:val="32"/>
          <w:szCs w:val="32"/>
        </w:rPr>
        <w:t>四</w:t>
      </w:r>
      <w:r>
        <w:rPr>
          <w:rFonts w:ascii="黑体" w:hAnsi="黑体" w:eastAsia="黑体" w:cs="宋体"/>
          <w:color w:val="auto"/>
          <w:kern w:val="0"/>
          <w:sz w:val="32"/>
          <w:szCs w:val="32"/>
        </w:rPr>
        <w:t>、预算管理</w:t>
      </w:r>
      <w:r>
        <w:rPr>
          <w:rFonts w:hint="eastAsia" w:ascii="黑体" w:hAnsi="黑体" w:eastAsia="黑体" w:cs="宋体"/>
          <w:color w:val="auto"/>
          <w:kern w:val="0"/>
          <w:sz w:val="32"/>
          <w:szCs w:val="32"/>
        </w:rPr>
        <w:t>情况分</w:t>
      </w:r>
      <w:r>
        <w:rPr>
          <w:rFonts w:ascii="黑体" w:hAnsi="黑体" w:eastAsia="黑体" w:cs="宋体"/>
          <w:color w:val="auto"/>
          <w:kern w:val="0"/>
          <w:sz w:val="32"/>
          <w:szCs w:val="32"/>
        </w:rPr>
        <w:t>析</w:t>
      </w:r>
    </w:p>
    <w:p>
      <w:pPr>
        <w:keepNext w:val="0"/>
        <w:keepLines w:val="0"/>
        <w:pageBreakBefore w:val="0"/>
        <w:widowControl w:val="0"/>
        <w:kinsoku/>
        <w:wordWrap/>
        <w:overflowPunct/>
        <w:topLinePunct w:val="0"/>
        <w:autoSpaceDE/>
        <w:autoSpaceDN/>
        <w:bidi w:val="0"/>
        <w:adjustRightInd/>
        <w:snapToGrid/>
        <w:spacing w:line="540" w:lineRule="exact"/>
        <w:ind w:left="105" w:leftChars="50" w:right="0" w:rightChars="0" w:firstLine="480" w:firstLineChars="150"/>
        <w:textAlignment w:val="auto"/>
        <w:outlineLvl w:val="9"/>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（一）财务管理</w:t>
      </w:r>
    </w:p>
    <w:p>
      <w:pPr>
        <w:keepNext w:val="0"/>
        <w:keepLines w:val="0"/>
        <w:pageBreakBefore w:val="0"/>
        <w:widowControl w:val="0"/>
        <w:kinsoku/>
        <w:wordWrap/>
        <w:overflowPunct/>
        <w:topLinePunct w:val="0"/>
        <w:autoSpaceDE/>
        <w:autoSpaceDN/>
        <w:bidi w:val="0"/>
        <w:adjustRightInd/>
        <w:snapToGrid/>
        <w:spacing w:line="540" w:lineRule="exact"/>
        <w:ind w:left="105" w:leftChars="50" w:right="0" w:rightChars="0" w:firstLine="480" w:firstLineChars="150"/>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1.财务</w:t>
      </w:r>
      <w:r>
        <w:rPr>
          <w:rFonts w:ascii="仿宋_GB2312" w:hAnsi="宋体" w:eastAsia="仿宋_GB2312" w:cs="宋体"/>
          <w:color w:val="auto"/>
          <w:kern w:val="0"/>
          <w:sz w:val="32"/>
          <w:szCs w:val="32"/>
          <w:highlight w:val="none"/>
        </w:rPr>
        <w:t>管理制度健全性</w:t>
      </w:r>
    </w:p>
    <w:p>
      <w:pPr>
        <w:keepNext w:val="0"/>
        <w:keepLines w:val="0"/>
        <w:pageBreakBefore w:val="0"/>
        <w:widowControl w:val="0"/>
        <w:kinsoku/>
        <w:wordWrap/>
        <w:overflowPunct/>
        <w:topLinePunct w:val="0"/>
        <w:autoSpaceDE/>
        <w:autoSpaceDN/>
        <w:bidi w:val="0"/>
        <w:adjustRightInd/>
        <w:snapToGrid/>
        <w:spacing w:line="540" w:lineRule="exact"/>
        <w:ind w:left="105" w:leftChars="50" w:right="0" w:rightChars="0" w:firstLine="480" w:firstLineChars="150"/>
        <w:textAlignment w:val="auto"/>
        <w:outlineLvl w:val="9"/>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严格按照</w:t>
      </w:r>
      <w:r>
        <w:rPr>
          <w:rFonts w:hint="eastAsia" w:ascii="仿宋_GB2312" w:hAnsi="宋体" w:eastAsia="仿宋_GB2312" w:cs="宋体"/>
          <w:color w:val="auto"/>
          <w:kern w:val="0"/>
          <w:sz w:val="32"/>
          <w:szCs w:val="32"/>
          <w:highlight w:val="none"/>
          <w:lang w:eastAsia="zh-CN"/>
        </w:rPr>
        <w:t>制度</w:t>
      </w:r>
      <w:r>
        <w:rPr>
          <w:rFonts w:hint="eastAsia" w:ascii="仿宋_GB2312" w:hAnsi="宋体" w:eastAsia="仿宋_GB2312" w:cs="宋体"/>
          <w:color w:val="auto"/>
          <w:kern w:val="0"/>
          <w:sz w:val="32"/>
          <w:szCs w:val="32"/>
          <w:highlight w:val="none"/>
        </w:rPr>
        <w:t>要求，</w:t>
      </w:r>
      <w:r>
        <w:rPr>
          <w:rFonts w:hint="eastAsia" w:ascii="仿宋_GB2312" w:hAnsi="宋体" w:eastAsia="仿宋_GB2312" w:cs="宋体"/>
          <w:color w:val="auto"/>
          <w:kern w:val="0"/>
          <w:sz w:val="32"/>
          <w:szCs w:val="32"/>
          <w:highlight w:val="none"/>
          <w:lang w:eastAsia="zh-CN"/>
        </w:rPr>
        <w:t>规范</w:t>
      </w:r>
      <w:r>
        <w:rPr>
          <w:rFonts w:hint="eastAsia" w:ascii="仿宋_GB2312" w:hAnsi="宋体" w:eastAsia="仿宋_GB2312" w:cs="宋体"/>
          <w:color w:val="auto"/>
          <w:kern w:val="0"/>
          <w:sz w:val="32"/>
          <w:szCs w:val="32"/>
          <w:highlight w:val="none"/>
        </w:rPr>
        <w:t>执行各项管理制度，</w:t>
      </w:r>
      <w:r>
        <w:rPr>
          <w:rFonts w:hint="eastAsia" w:ascii="仿宋_GB2312" w:hAnsi="宋体" w:eastAsia="仿宋_GB2312" w:cs="宋体"/>
          <w:color w:val="auto"/>
          <w:kern w:val="0"/>
          <w:sz w:val="32"/>
          <w:szCs w:val="32"/>
          <w:highlight w:val="none"/>
          <w:lang w:eastAsia="zh-CN"/>
        </w:rPr>
        <w:t>确保</w:t>
      </w:r>
      <w:r>
        <w:rPr>
          <w:rFonts w:hint="eastAsia" w:ascii="仿宋_GB2312" w:hAnsi="宋体" w:eastAsia="仿宋_GB2312" w:cs="宋体"/>
          <w:color w:val="auto"/>
          <w:kern w:val="0"/>
          <w:sz w:val="32"/>
          <w:szCs w:val="32"/>
          <w:highlight w:val="none"/>
        </w:rPr>
        <w:t>财务</w:t>
      </w:r>
      <w:r>
        <w:rPr>
          <w:rFonts w:ascii="仿宋_GB2312" w:hAnsi="宋体" w:eastAsia="仿宋_GB2312" w:cs="宋体"/>
          <w:color w:val="auto"/>
          <w:kern w:val="0"/>
          <w:sz w:val="32"/>
          <w:szCs w:val="32"/>
          <w:highlight w:val="none"/>
        </w:rPr>
        <w:t>管理制度健全</w:t>
      </w:r>
      <w:r>
        <w:rPr>
          <w:rFonts w:hint="eastAsia" w:ascii="仿宋_GB2312" w:hAnsi="宋体" w:eastAsia="仿宋_GB2312" w:cs="宋体"/>
          <w:color w:val="auto"/>
          <w:kern w:val="0"/>
          <w:sz w:val="32"/>
          <w:szCs w:val="32"/>
          <w:highlight w:val="none"/>
          <w:lang w:eastAsia="zh-CN"/>
        </w:rPr>
        <w:t>、完善。</w:t>
      </w:r>
    </w:p>
    <w:p>
      <w:pPr>
        <w:keepNext w:val="0"/>
        <w:keepLines w:val="0"/>
        <w:pageBreakBefore w:val="0"/>
        <w:widowControl w:val="0"/>
        <w:kinsoku/>
        <w:wordWrap/>
        <w:overflowPunct/>
        <w:topLinePunct w:val="0"/>
        <w:autoSpaceDE/>
        <w:autoSpaceDN/>
        <w:bidi w:val="0"/>
        <w:adjustRightInd/>
        <w:snapToGrid/>
        <w:spacing w:line="540" w:lineRule="exact"/>
        <w:ind w:left="105" w:leftChars="50" w:right="0" w:rightChars="0" w:firstLine="480" w:firstLineChars="150"/>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2.资金使用合规性</w:t>
      </w:r>
      <w:r>
        <w:rPr>
          <w:rFonts w:ascii="仿宋_GB2312" w:hAnsi="宋体" w:eastAsia="仿宋_GB2312" w:cs="宋体"/>
          <w:color w:val="auto"/>
          <w:kern w:val="0"/>
          <w:sz w:val="32"/>
          <w:szCs w:val="32"/>
          <w:highlight w:val="none"/>
        </w:rPr>
        <w:t>和安全性</w:t>
      </w:r>
    </w:p>
    <w:p>
      <w:pPr>
        <w:keepNext w:val="0"/>
        <w:keepLines w:val="0"/>
        <w:pageBreakBefore w:val="0"/>
        <w:widowControl w:val="0"/>
        <w:kinsoku/>
        <w:wordWrap/>
        <w:overflowPunct/>
        <w:topLinePunct w:val="0"/>
        <w:autoSpaceDE/>
        <w:autoSpaceDN/>
        <w:bidi w:val="0"/>
        <w:adjustRightInd/>
        <w:snapToGrid/>
        <w:spacing w:line="540" w:lineRule="exact"/>
        <w:ind w:left="105" w:leftChars="50" w:right="0" w:rightChars="0" w:firstLine="480" w:firstLineChars="150"/>
        <w:textAlignment w:val="auto"/>
        <w:outlineLvl w:val="9"/>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按照国家法律法规和街道财务管理制度的要求，强化资金使用的监督管理，严格执行资金拨付使用的审批程序，严格控制成本，厉行节约，发挥资金使用效益最大化，确保资金使用合规安全。</w:t>
      </w:r>
    </w:p>
    <w:p>
      <w:pPr>
        <w:keepNext w:val="0"/>
        <w:keepLines w:val="0"/>
        <w:pageBreakBefore w:val="0"/>
        <w:widowControl w:val="0"/>
        <w:kinsoku/>
        <w:wordWrap/>
        <w:overflowPunct/>
        <w:topLinePunct w:val="0"/>
        <w:autoSpaceDE/>
        <w:autoSpaceDN/>
        <w:bidi w:val="0"/>
        <w:adjustRightInd/>
        <w:snapToGrid/>
        <w:spacing w:line="540" w:lineRule="exact"/>
        <w:ind w:left="105" w:leftChars="50" w:right="0" w:rightChars="0" w:firstLine="480" w:firstLineChars="150"/>
        <w:textAlignment w:val="auto"/>
        <w:outlineLvl w:val="9"/>
        <w:rPr>
          <w:rFonts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3.</w:t>
      </w:r>
      <w:r>
        <w:rPr>
          <w:rFonts w:hint="eastAsia" w:ascii="仿宋_GB2312" w:hAnsi="宋体" w:eastAsia="仿宋_GB2312" w:cs="宋体"/>
          <w:color w:val="auto"/>
          <w:kern w:val="0"/>
          <w:sz w:val="32"/>
          <w:szCs w:val="32"/>
          <w:highlight w:val="none"/>
        </w:rPr>
        <w:t>会计</w:t>
      </w:r>
      <w:r>
        <w:rPr>
          <w:rFonts w:ascii="仿宋_GB2312" w:hAnsi="宋体" w:eastAsia="仿宋_GB2312" w:cs="宋体"/>
          <w:color w:val="auto"/>
          <w:kern w:val="0"/>
          <w:sz w:val="32"/>
          <w:szCs w:val="32"/>
          <w:highlight w:val="none"/>
        </w:rPr>
        <w:t>基础信息完善性</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严格按照政府会计制度做好财会工作，确保会计核算符合要求及预决算数据的准确完整，保障会计基础信息完善，数据核算准确无误，全部内容真实，数字准确。</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105" w:leftChars="50" w:right="0" w:rightChars="0" w:firstLine="480" w:firstLineChars="150"/>
        <w:textAlignment w:val="auto"/>
        <w:outlineLvl w:val="9"/>
        <w:rPr>
          <w:rFonts w:hint="eastAsia" w:ascii="仿宋_GB2312" w:hAnsi="宋体" w:eastAsia="仿宋_GB2312" w:cs="宋体"/>
          <w:color w:val="auto"/>
          <w:kern w:val="0"/>
          <w:sz w:val="32"/>
          <w:szCs w:val="32"/>
          <w:lang w:val="en-US" w:eastAsia="zh-CN" w:bidi="ar-SA"/>
        </w:rPr>
      </w:pPr>
      <w:r>
        <w:rPr>
          <w:rFonts w:hint="eastAsia" w:ascii="仿宋_GB2312" w:hAnsi="宋体" w:eastAsia="仿宋_GB2312" w:cs="宋体"/>
          <w:color w:val="auto"/>
          <w:kern w:val="0"/>
          <w:sz w:val="32"/>
          <w:szCs w:val="32"/>
          <w:lang w:val="en-US" w:eastAsia="zh-CN" w:bidi="ar-SA"/>
        </w:rPr>
        <w:t>资产管理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仿宋_GB2312" w:hAnsi="宋体" w:eastAsia="仿宋_GB2312" w:cs="宋体"/>
          <w:b w:val="0"/>
          <w:color w:val="auto"/>
          <w:kern w:val="0"/>
          <w:sz w:val="32"/>
          <w:szCs w:val="32"/>
          <w:highlight w:val="none"/>
          <w:lang w:val="en-US" w:eastAsia="zh-CN" w:bidi="ar-SA"/>
        </w:rPr>
      </w:pPr>
      <w:r>
        <w:rPr>
          <w:rFonts w:hint="eastAsia" w:ascii="仿宋_GB2312" w:hAnsi="宋体" w:eastAsia="仿宋_GB2312" w:cs="宋体"/>
          <w:b w:val="0"/>
          <w:color w:val="auto"/>
          <w:kern w:val="0"/>
          <w:sz w:val="32"/>
          <w:szCs w:val="32"/>
          <w:highlight w:val="none"/>
          <w:lang w:val="en-US" w:eastAsia="zh-CN" w:bidi="ar-SA"/>
        </w:rPr>
        <w:t>严格遵循相关法律法规及规章制度，开展资产管理工作。做好货币资金等流动资产管理，确保账务管理合规，账实一致；做好固定资产等非流动资产管理，确保使用合理、处置规范，实现资产配置、使用及处置全流程的有效管控。</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（三）绩效管理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eastAsia="仿宋_GB2312" w:cs="Times New Roman"/>
          <w:b w:val="0"/>
          <w:bCs w:val="0"/>
          <w:color w:val="auto"/>
          <w:sz w:val="32"/>
          <w:szCs w:val="32"/>
          <w:highlight w:val="none"/>
          <w:lang w:val="en-US" w:eastAsia="zh-CN"/>
        </w:rPr>
        <w:t>在开展整体绩效管理过程中，</w:t>
      </w:r>
      <w:r>
        <w:rPr>
          <w:rFonts w:hint="eastAsia" w:ascii="Times New Roman" w:hAnsi="Times New Roman" w:eastAsia="仿宋_GB2312" w:cs="Times New Roman"/>
          <w:b w:val="0"/>
          <w:bCs w:val="0"/>
          <w:color w:val="auto"/>
          <w:sz w:val="32"/>
          <w:szCs w:val="32"/>
          <w:highlight w:val="none"/>
          <w:lang w:val="en-US" w:eastAsia="zh-CN"/>
        </w:rPr>
        <w:t>街道领导班子高度重视，主要领导统筹全局，主管领导从专业角度进行全方位指导，财务部门充分发挥协调中枢作用，与各科室紧密联系，通过有效的沟通与协作，全力督促预算绩效目标的精准落实，为目标的高效达成提供了坚实保障。</w:t>
      </w:r>
      <w:r>
        <w:rPr>
          <w:rFonts w:hint="default" w:ascii="Times New Roman" w:hAnsi="Times New Roman" w:eastAsia="仿宋_GB2312" w:cs="Times New Roman"/>
          <w:b w:val="0"/>
          <w:bCs w:val="0"/>
          <w:color w:val="auto"/>
          <w:kern w:val="2"/>
          <w:sz w:val="32"/>
          <w:szCs w:val="32"/>
          <w:highlight w:val="none"/>
          <w:lang w:val="en-US" w:eastAsia="zh-CN" w:bidi="ar-SA"/>
        </w:rPr>
        <w:t>年度执行计划期间，持续</w:t>
      </w:r>
      <w:r>
        <w:rPr>
          <w:rFonts w:hint="eastAsia" w:eastAsia="仿宋_GB2312" w:cs="Times New Roman"/>
          <w:b w:val="0"/>
          <w:bCs w:val="0"/>
          <w:color w:val="auto"/>
          <w:kern w:val="2"/>
          <w:sz w:val="32"/>
          <w:szCs w:val="32"/>
          <w:highlight w:val="none"/>
          <w:lang w:val="en-US" w:eastAsia="zh-CN" w:bidi="ar-SA"/>
        </w:rPr>
        <w:t>有效做好</w:t>
      </w:r>
      <w:r>
        <w:rPr>
          <w:rFonts w:hint="default" w:ascii="Times New Roman" w:hAnsi="Times New Roman" w:eastAsia="仿宋_GB2312" w:cs="Times New Roman"/>
          <w:b w:val="0"/>
          <w:bCs w:val="0"/>
          <w:color w:val="auto"/>
          <w:kern w:val="2"/>
          <w:sz w:val="32"/>
          <w:szCs w:val="32"/>
          <w:highlight w:val="none"/>
          <w:lang w:val="en-US" w:eastAsia="zh-CN" w:bidi="ar-SA"/>
        </w:rPr>
        <w:t>绩效目标</w:t>
      </w:r>
      <w:r>
        <w:rPr>
          <w:rFonts w:hint="eastAsia" w:eastAsia="仿宋_GB2312" w:cs="Times New Roman"/>
          <w:b w:val="0"/>
          <w:bCs w:val="0"/>
          <w:color w:val="auto"/>
          <w:kern w:val="2"/>
          <w:sz w:val="32"/>
          <w:szCs w:val="32"/>
          <w:highlight w:val="none"/>
          <w:lang w:val="en-US" w:eastAsia="zh-CN" w:bidi="ar-SA"/>
        </w:rPr>
        <w:t>的</w:t>
      </w:r>
      <w:r>
        <w:rPr>
          <w:rFonts w:hint="default" w:ascii="Times New Roman" w:hAnsi="Times New Roman" w:eastAsia="仿宋_GB2312" w:cs="Times New Roman"/>
          <w:b w:val="0"/>
          <w:bCs w:val="0"/>
          <w:color w:val="auto"/>
          <w:kern w:val="2"/>
          <w:sz w:val="32"/>
          <w:szCs w:val="32"/>
          <w:highlight w:val="none"/>
          <w:lang w:val="en-US" w:eastAsia="zh-CN" w:bidi="ar-SA"/>
        </w:rPr>
        <w:t>跟踪检查，</w:t>
      </w:r>
      <w:r>
        <w:rPr>
          <w:rFonts w:hint="eastAsia" w:eastAsia="仿宋_GB2312" w:cs="Times New Roman"/>
          <w:b w:val="0"/>
          <w:bCs w:val="0"/>
          <w:color w:val="auto"/>
          <w:kern w:val="2"/>
          <w:sz w:val="32"/>
          <w:szCs w:val="32"/>
          <w:highlight w:val="none"/>
          <w:lang w:val="en-US" w:eastAsia="zh-CN" w:bidi="ar-SA"/>
        </w:rPr>
        <w:t>确保各项执行无偏差，</w:t>
      </w:r>
      <w:r>
        <w:rPr>
          <w:rFonts w:hint="default" w:ascii="Times New Roman" w:hAnsi="Times New Roman" w:eastAsia="仿宋_GB2312" w:cs="Times New Roman"/>
          <w:b w:val="0"/>
          <w:bCs w:val="0"/>
          <w:color w:val="auto"/>
          <w:kern w:val="2"/>
          <w:sz w:val="32"/>
          <w:szCs w:val="32"/>
          <w:highlight w:val="none"/>
          <w:lang w:val="en-US" w:eastAsia="zh-CN" w:bidi="ar-SA"/>
        </w:rPr>
        <w:t>一旦出现偏差，迅速查明原因并采取应对措施，确保全年绩效指标顺利完成。</w:t>
      </w:r>
      <w:r>
        <w:rPr>
          <w:rFonts w:hint="eastAsia" w:eastAsia="仿宋_GB2312" w:cs="Times New Roman"/>
          <w:b w:val="0"/>
          <w:bCs w:val="0"/>
          <w:color w:val="auto"/>
          <w:kern w:val="2"/>
          <w:sz w:val="32"/>
          <w:szCs w:val="32"/>
          <w:highlight w:val="none"/>
          <w:lang w:val="en-US" w:eastAsia="zh-CN" w:bidi="ar-SA"/>
        </w:rPr>
        <w:t>通过</w:t>
      </w:r>
      <w:r>
        <w:rPr>
          <w:rFonts w:hint="default" w:ascii="Times New Roman" w:hAnsi="Times New Roman" w:eastAsia="仿宋_GB2312" w:cs="Times New Roman"/>
          <w:b w:val="0"/>
          <w:bCs w:val="0"/>
          <w:color w:val="auto"/>
          <w:kern w:val="2"/>
          <w:sz w:val="32"/>
          <w:szCs w:val="32"/>
          <w:highlight w:val="none"/>
          <w:lang w:val="en-US" w:eastAsia="zh-CN" w:bidi="ar-SA"/>
        </w:rPr>
        <w:t>绩效自评可知，</w:t>
      </w:r>
      <w:r>
        <w:rPr>
          <w:rFonts w:hint="eastAsia" w:eastAsia="仿宋_GB2312" w:cs="Times New Roman"/>
          <w:b w:val="0"/>
          <w:bCs w:val="0"/>
          <w:color w:val="auto"/>
          <w:kern w:val="2"/>
          <w:sz w:val="32"/>
          <w:szCs w:val="32"/>
          <w:highlight w:val="none"/>
          <w:lang w:val="en-US" w:eastAsia="zh-CN" w:bidi="ar-SA"/>
        </w:rPr>
        <w:t>街道</w:t>
      </w:r>
      <w:r>
        <w:rPr>
          <w:rFonts w:hint="eastAsia" w:ascii="Times New Roman" w:hAnsi="Times New Roman" w:eastAsia="仿宋_GB2312" w:cs="Times New Roman"/>
          <w:b w:val="0"/>
          <w:bCs w:val="0"/>
          <w:color w:val="auto"/>
          <w:kern w:val="2"/>
          <w:sz w:val="32"/>
          <w:szCs w:val="32"/>
          <w:highlight w:val="none"/>
          <w:lang w:val="en-US" w:eastAsia="zh-CN" w:bidi="ar-SA"/>
        </w:rPr>
        <w:t>2024年全年</w:t>
      </w:r>
      <w:r>
        <w:rPr>
          <w:rFonts w:hint="default" w:ascii="Times New Roman" w:hAnsi="Times New Roman" w:eastAsia="仿宋_GB2312" w:cs="Times New Roman"/>
          <w:b w:val="0"/>
          <w:bCs w:val="0"/>
          <w:color w:val="auto"/>
          <w:kern w:val="2"/>
          <w:sz w:val="32"/>
          <w:szCs w:val="32"/>
          <w:highlight w:val="none"/>
          <w:lang w:val="en-US" w:eastAsia="zh-CN" w:bidi="ar-SA"/>
        </w:rPr>
        <w:t>各项工作</w:t>
      </w:r>
      <w:r>
        <w:rPr>
          <w:rFonts w:hint="eastAsia" w:eastAsia="仿宋_GB2312" w:cs="Times New Roman"/>
          <w:b w:val="0"/>
          <w:bCs w:val="0"/>
          <w:color w:val="auto"/>
          <w:kern w:val="2"/>
          <w:sz w:val="32"/>
          <w:szCs w:val="32"/>
          <w:highlight w:val="none"/>
          <w:lang w:val="en-US" w:eastAsia="zh-CN" w:bidi="ar-SA"/>
        </w:rPr>
        <w:t>有序</w:t>
      </w:r>
      <w:r>
        <w:rPr>
          <w:rFonts w:hint="default" w:ascii="Times New Roman" w:hAnsi="Times New Roman" w:eastAsia="仿宋_GB2312" w:cs="Times New Roman"/>
          <w:b w:val="0"/>
          <w:bCs w:val="0"/>
          <w:color w:val="auto"/>
          <w:kern w:val="2"/>
          <w:sz w:val="32"/>
          <w:szCs w:val="32"/>
          <w:highlight w:val="none"/>
          <w:lang w:val="en-US" w:eastAsia="zh-CN" w:bidi="ar-SA"/>
        </w:rPr>
        <w:t>推进，</w:t>
      </w:r>
      <w:r>
        <w:rPr>
          <w:rFonts w:hint="eastAsia" w:ascii="Times New Roman" w:hAnsi="Times New Roman" w:eastAsia="仿宋_GB2312" w:cs="Times New Roman"/>
          <w:b w:val="0"/>
          <w:bCs w:val="0"/>
          <w:color w:val="auto"/>
          <w:kern w:val="2"/>
          <w:sz w:val="32"/>
          <w:szCs w:val="32"/>
          <w:highlight w:val="none"/>
          <w:lang w:val="en-US" w:eastAsia="zh-CN" w:bidi="ar-SA"/>
        </w:rPr>
        <w:t>实现</w:t>
      </w:r>
      <w:r>
        <w:rPr>
          <w:rFonts w:hint="default" w:ascii="Times New Roman" w:hAnsi="Times New Roman" w:eastAsia="仿宋_GB2312" w:cs="Times New Roman"/>
          <w:b w:val="0"/>
          <w:bCs w:val="0"/>
          <w:color w:val="auto"/>
          <w:kern w:val="2"/>
          <w:sz w:val="32"/>
          <w:szCs w:val="32"/>
          <w:highlight w:val="none"/>
          <w:lang w:val="en-US" w:eastAsia="zh-CN" w:bidi="ar-SA"/>
        </w:rPr>
        <w:t>预期目标，总体绩效完成良好，财政资金使用效益显著。</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（四）结转结余率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Times New Roman" w:hAnsi="Times New Roman" w:eastAsia="仿宋_GB2312" w:cs="Times New Roman"/>
          <w:b w:val="0"/>
          <w:bCs w:val="0"/>
          <w:color w:val="auto"/>
          <w:sz w:val="32"/>
          <w:szCs w:val="32"/>
          <w:highlight w:val="none"/>
          <w:lang w:val="en-US" w:eastAsia="zh-CN"/>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w:t>
      </w:r>
      <w:r>
        <w:rPr>
          <w:rFonts w:hint="eastAsia" w:eastAsia="仿宋_GB2312" w:cs="Times New Roman"/>
          <w:b w:val="0"/>
          <w:bCs w:val="0"/>
          <w:color w:val="auto"/>
          <w:sz w:val="32"/>
          <w:szCs w:val="32"/>
          <w:highlight w:val="none"/>
          <w:lang w:val="en-US" w:eastAsia="zh-CN"/>
        </w:rPr>
        <w:t>年末数1.83</w:t>
      </w:r>
      <w:r>
        <w:rPr>
          <w:rFonts w:hint="eastAsia" w:ascii="Times New Roman" w:hAnsi="Times New Roman" w:eastAsia="仿宋_GB2312" w:cs="Times New Roman"/>
          <w:b w:val="0"/>
          <w:bCs w:val="0"/>
          <w:color w:val="auto"/>
          <w:sz w:val="32"/>
          <w:szCs w:val="32"/>
          <w:highlight w:val="none"/>
          <w:lang w:val="en-US" w:eastAsia="zh-CN"/>
        </w:rPr>
        <w:t>万元，</w:t>
      </w:r>
      <w:r>
        <w:rPr>
          <w:rFonts w:ascii="仿宋_GB2312" w:hAnsi="宋体" w:eastAsia="仿宋_GB2312" w:cs="宋体"/>
          <w:color w:val="auto"/>
          <w:kern w:val="0"/>
          <w:sz w:val="32"/>
          <w:szCs w:val="32"/>
          <w:highlight w:val="none"/>
        </w:rPr>
        <w:t>全年</w:t>
      </w:r>
      <w:r>
        <w:rPr>
          <w:rFonts w:hint="eastAsia" w:ascii="仿宋_GB2312" w:hAnsi="宋体" w:eastAsia="仿宋_GB2312" w:cs="宋体"/>
          <w:color w:val="auto"/>
          <w:kern w:val="0"/>
          <w:sz w:val="32"/>
          <w:szCs w:val="32"/>
          <w:highlight w:val="none"/>
          <w:lang w:eastAsia="zh-CN"/>
        </w:rPr>
        <w:t>支出预算</w:t>
      </w:r>
      <w:r>
        <w:rPr>
          <w:rFonts w:hint="eastAsia" w:ascii="仿宋_GB2312" w:hAnsi="宋体" w:eastAsia="仿宋_GB2312" w:cs="宋体"/>
          <w:color w:val="auto"/>
          <w:kern w:val="0"/>
          <w:sz w:val="32"/>
          <w:szCs w:val="32"/>
          <w:highlight w:val="none"/>
        </w:rPr>
        <w:t>数</w:t>
      </w:r>
      <w:r>
        <w:rPr>
          <w:rFonts w:hint="eastAsia" w:ascii="仿宋_GB2312" w:hAnsi="宋体" w:eastAsia="仿宋_GB2312" w:cs="宋体"/>
          <w:color w:val="auto"/>
          <w:kern w:val="0"/>
          <w:sz w:val="32"/>
          <w:szCs w:val="32"/>
          <w:highlight w:val="none"/>
          <w:lang w:val="en-US" w:eastAsia="zh-CN"/>
        </w:rPr>
        <w:t>16482.18</w:t>
      </w:r>
      <w:r>
        <w:rPr>
          <w:rFonts w:hint="eastAsia" w:ascii="仿宋_GB2312" w:hAnsi="宋体" w:eastAsia="仿宋_GB2312" w:cs="宋体"/>
          <w:color w:val="auto"/>
          <w:kern w:val="0"/>
          <w:sz w:val="32"/>
          <w:szCs w:val="32"/>
          <w:highlight w:val="none"/>
        </w:rPr>
        <w:t>万元</w:t>
      </w:r>
      <w:r>
        <w:rPr>
          <w:rFonts w:hint="eastAsia" w:ascii="Times New Roman" w:hAnsi="Times New Roman" w:eastAsia="仿宋_GB2312" w:cs="Times New Roman"/>
          <w:b w:val="0"/>
          <w:bCs w:val="0"/>
          <w:color w:val="auto"/>
          <w:sz w:val="32"/>
          <w:szCs w:val="32"/>
          <w:highlight w:val="none"/>
          <w:lang w:val="en-US" w:eastAsia="zh-CN"/>
        </w:rPr>
        <w:t>，结转结余率</w:t>
      </w:r>
      <w:r>
        <w:rPr>
          <w:rFonts w:hint="eastAsia" w:eastAsia="仿宋_GB2312" w:cs="Times New Roman"/>
          <w:b w:val="0"/>
          <w:bCs w:val="0"/>
          <w:color w:val="auto"/>
          <w:sz w:val="32"/>
          <w:szCs w:val="32"/>
          <w:highlight w:val="none"/>
          <w:lang w:val="en-US" w:eastAsia="zh-CN"/>
        </w:rPr>
        <w:t>0.01</w:t>
      </w:r>
      <w:r>
        <w:rPr>
          <w:rFonts w:hint="eastAsia" w:ascii="Times New Roman" w:hAnsi="Times New Roman" w:eastAsia="仿宋_GB2312" w:cs="Times New Roman"/>
          <w:b w:val="0"/>
          <w:bCs w:val="0"/>
          <w:color w:val="auto"/>
          <w:sz w:val="32"/>
          <w:szCs w:val="32"/>
          <w:highlight w:val="none"/>
          <w:lang w:val="en-US" w:eastAsia="zh-CN"/>
        </w:rPr>
        <w:t>%。</w:t>
      </w:r>
      <w:r>
        <w:rPr>
          <w:rFonts w:hint="eastAsia" w:eastAsia="仿宋_GB2312" w:cs="Times New Roman"/>
          <w:b w:val="0"/>
          <w:bCs w:val="0"/>
          <w:color w:val="auto"/>
          <w:sz w:val="32"/>
          <w:szCs w:val="32"/>
          <w:highlight w:val="none"/>
          <w:lang w:val="en-US" w:eastAsia="zh-CN"/>
        </w:rPr>
        <w:t>（结转结余率=本年年末数/支出预算数总计*100%）</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（五）部门预决算差异率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textAlignment w:val="auto"/>
        <w:outlineLvl w:val="9"/>
        <w:rPr>
          <w:rFonts w:ascii="楷体_GB2312" w:eastAsia="楷体_GB2312"/>
          <w:color w:val="auto"/>
          <w:sz w:val="32"/>
          <w:szCs w:val="32"/>
          <w:highlight w:val="none"/>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eastAsia="zh-CN"/>
        </w:rPr>
        <w:t>决算</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eastAsia="zh-CN"/>
        </w:rPr>
        <w:t>数</w:t>
      </w:r>
      <w:r>
        <w:rPr>
          <w:rFonts w:hint="eastAsia" w:ascii="仿宋_GB2312" w:hAnsi="宋体" w:eastAsia="仿宋_GB2312" w:cs="宋体"/>
          <w:color w:val="auto"/>
          <w:kern w:val="0"/>
          <w:sz w:val="32"/>
          <w:szCs w:val="32"/>
          <w:highlight w:val="none"/>
          <w:lang w:val="en-US" w:eastAsia="zh-CN"/>
        </w:rPr>
        <w:t>16480.35</w:t>
      </w:r>
      <w:r>
        <w:rPr>
          <w:rFonts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，年初预算数</w:t>
      </w:r>
      <w:r>
        <w:rPr>
          <w:rFonts w:hint="eastAsia" w:ascii="仿宋_GB2312" w:hAnsi="宋体" w:eastAsia="仿宋_GB2312" w:cs="宋体"/>
          <w:color w:val="auto"/>
          <w:kern w:val="0"/>
          <w:sz w:val="32"/>
          <w:szCs w:val="32"/>
          <w:highlight w:val="none"/>
          <w:lang w:val="en-US" w:eastAsia="zh-CN"/>
        </w:rPr>
        <w:t>10655.04万元，</w:t>
      </w:r>
      <w:r>
        <w:rPr>
          <w:rFonts w:hint="eastAsia" w:ascii="仿宋_GB2312" w:hAnsi="宋体" w:eastAsia="仿宋_GB2312" w:cs="宋体"/>
          <w:color w:val="auto"/>
          <w:kern w:val="0"/>
          <w:sz w:val="32"/>
          <w:szCs w:val="32"/>
          <w:highlight w:val="none"/>
          <w:lang w:eastAsia="zh-CN"/>
        </w:rPr>
        <w:t>部门预决算差异率</w:t>
      </w:r>
      <w:r>
        <w:rPr>
          <w:rFonts w:hint="eastAsia" w:ascii="仿宋_GB2312" w:hAnsi="宋体" w:eastAsia="仿宋_GB2312" w:cs="宋体"/>
          <w:color w:val="auto"/>
          <w:kern w:val="0"/>
          <w:sz w:val="32"/>
          <w:szCs w:val="32"/>
          <w:highlight w:val="none"/>
          <w:lang w:val="en-US" w:eastAsia="zh-CN"/>
        </w:rPr>
        <w:t>54.67%。（</w:t>
      </w:r>
      <w:r>
        <w:rPr>
          <w:rFonts w:hint="eastAsia" w:ascii="仿宋_GB2312" w:hAnsi="宋体" w:eastAsia="仿宋_GB2312" w:cs="宋体"/>
          <w:color w:val="auto"/>
          <w:kern w:val="0"/>
          <w:sz w:val="32"/>
          <w:szCs w:val="32"/>
          <w:highlight w:val="none"/>
        </w:rPr>
        <w:t>预决算差异率</w:t>
      </w:r>
      <w:r>
        <w:rPr>
          <w:rFonts w:hint="eastAsia" w:ascii="仿宋_GB2312" w:hAnsi="宋体" w:eastAsia="仿宋_GB2312" w:cs="宋体"/>
          <w:color w:val="auto"/>
          <w:kern w:val="0"/>
          <w:sz w:val="32"/>
          <w:szCs w:val="32"/>
          <w:highlight w:val="none"/>
          <w:lang w:val="en-US" w:eastAsia="zh-CN"/>
        </w:rPr>
        <w:t>=（决算数-年初预算数）/年初预算数*100%）</w:t>
      </w:r>
    </w:p>
    <w:p>
      <w:pPr>
        <w:spacing w:line="600" w:lineRule="exact"/>
        <w:ind w:left="105" w:leftChars="50" w:firstLine="480" w:firstLineChars="150"/>
        <w:rPr>
          <w:rFonts w:ascii="黑体" w:hAnsi="黑体" w:eastAsia="黑体"/>
          <w:color w:val="auto"/>
          <w:sz w:val="32"/>
          <w:szCs w:val="32"/>
        </w:rPr>
      </w:pPr>
      <w:r>
        <w:rPr>
          <w:rFonts w:hint="eastAsia" w:ascii="黑体" w:hAnsi="黑体" w:eastAsia="黑体"/>
          <w:color w:val="auto"/>
          <w:sz w:val="32"/>
          <w:szCs w:val="32"/>
        </w:rPr>
        <w:t>五、总体</w:t>
      </w:r>
      <w:r>
        <w:rPr>
          <w:rFonts w:ascii="黑体" w:hAnsi="黑体" w:eastAsia="黑体"/>
          <w:color w:val="auto"/>
          <w:sz w:val="32"/>
          <w:szCs w:val="32"/>
        </w:rPr>
        <w:t>评价结论</w:t>
      </w:r>
    </w:p>
    <w:p>
      <w:pPr>
        <w:keepNext w:val="0"/>
        <w:keepLines w:val="0"/>
        <w:pageBreakBefore w:val="0"/>
        <w:widowControl w:val="0"/>
        <w:kinsoku/>
        <w:wordWrap/>
        <w:overflowPunct/>
        <w:topLinePunct w:val="0"/>
        <w:autoSpaceDE/>
        <w:autoSpaceDN/>
        <w:bidi w:val="0"/>
        <w:adjustRightInd/>
        <w:snapToGrid/>
        <w:spacing w:line="540" w:lineRule="exact"/>
        <w:ind w:left="105" w:leftChars="50" w:right="0" w:rightChars="0" w:firstLine="480" w:firstLineChars="150"/>
        <w:textAlignment w:val="auto"/>
        <w:outlineLvl w:val="9"/>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eastAsia="zh-CN"/>
        </w:rPr>
        <w:t>（一）评价得分情况</w:t>
      </w:r>
    </w:p>
    <w:p>
      <w:pPr>
        <w:keepNext w:val="0"/>
        <w:keepLines w:val="0"/>
        <w:pageBreakBefore w:val="0"/>
        <w:widowControl w:val="0"/>
        <w:kinsoku/>
        <w:wordWrap/>
        <w:overflowPunct/>
        <w:topLinePunct w:val="0"/>
        <w:autoSpaceDE/>
        <w:autoSpaceDN/>
        <w:bidi w:val="0"/>
        <w:adjustRightInd/>
        <w:snapToGrid/>
        <w:spacing w:line="540" w:lineRule="exact"/>
        <w:ind w:left="105" w:leftChars="50" w:right="0" w:rightChars="0" w:firstLine="480" w:firstLineChars="150"/>
        <w:textAlignment w:val="auto"/>
        <w:outlineLvl w:val="9"/>
        <w:rPr>
          <w:rFonts w:hint="eastAsia" w:ascii="楷体_GB2312" w:eastAsia="楷体_GB2312"/>
          <w:color w:val="auto"/>
          <w:sz w:val="32"/>
          <w:szCs w:val="32"/>
          <w:highlight w:val="none"/>
        </w:rPr>
      </w:pPr>
      <w:r>
        <w:rPr>
          <w:rFonts w:hint="eastAsia" w:ascii="仿宋_GB2312" w:hAnsi="宋体" w:eastAsia="仿宋_GB2312" w:cs="宋体"/>
          <w:color w:val="auto"/>
          <w:kern w:val="0"/>
          <w:sz w:val="32"/>
          <w:szCs w:val="32"/>
          <w:highlight w:val="none"/>
          <w:lang w:eastAsia="zh-CN"/>
        </w:rPr>
        <w:t>结合202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lang w:eastAsia="zh-CN"/>
        </w:rPr>
        <w:t>年整体绩效目标以及实际完成情况，我街道认真履行职责，</w:t>
      </w:r>
      <w:bookmarkStart w:id="0" w:name="_GoBack"/>
      <w:bookmarkEnd w:id="0"/>
      <w:r>
        <w:rPr>
          <w:rFonts w:hint="eastAsia" w:ascii="仿宋_GB2312" w:hAnsi="宋体" w:eastAsia="仿宋_GB2312" w:cs="宋体"/>
          <w:color w:val="auto"/>
          <w:kern w:val="0"/>
          <w:sz w:val="32"/>
          <w:szCs w:val="32"/>
          <w:highlight w:val="none"/>
          <w:lang w:eastAsia="zh-CN"/>
        </w:rPr>
        <w:t>对</w:t>
      </w:r>
      <w:r>
        <w:rPr>
          <w:rFonts w:hint="eastAsia" w:ascii="仿宋_GB2312" w:hAnsi="宋体" w:eastAsia="仿宋_GB2312" w:cs="宋体"/>
          <w:color w:val="auto"/>
          <w:kern w:val="0"/>
          <w:sz w:val="32"/>
          <w:szCs w:val="32"/>
          <w:highlight w:val="none"/>
          <w:lang w:val="en-US" w:eastAsia="zh-CN"/>
        </w:rPr>
        <w:t>2024年整体支出绩效评价</w:t>
      </w:r>
      <w:r>
        <w:rPr>
          <w:rFonts w:hint="eastAsia" w:ascii="仿宋_GB2312" w:hAnsi="宋体" w:eastAsia="仿宋_GB2312" w:cs="宋体"/>
          <w:color w:val="auto"/>
          <w:kern w:val="0"/>
          <w:sz w:val="32"/>
          <w:szCs w:val="32"/>
          <w:highlight w:val="none"/>
          <w:lang w:eastAsia="zh-CN"/>
        </w:rPr>
        <w:t>开展自评，全年圆满地完成了年初确定的各项工作任务，</w:t>
      </w:r>
      <w:r>
        <w:rPr>
          <w:rFonts w:hint="default" w:ascii="仿宋_GB2312" w:hAnsi="宋体" w:eastAsia="仿宋_GB2312" w:cs="宋体"/>
          <w:color w:val="auto"/>
          <w:kern w:val="0"/>
          <w:sz w:val="32"/>
          <w:szCs w:val="32"/>
          <w:highlight w:val="none"/>
          <w:lang w:eastAsia="zh-CN"/>
        </w:rPr>
        <w:t>全年绩效评价总评分为</w:t>
      </w:r>
      <w:r>
        <w:rPr>
          <w:rFonts w:hint="eastAsia" w:ascii="仿宋_GB2312" w:hAnsi="宋体" w:eastAsia="仿宋_GB2312" w:cs="宋体"/>
          <w:color w:val="auto"/>
          <w:kern w:val="0"/>
          <w:sz w:val="32"/>
          <w:szCs w:val="32"/>
          <w:highlight w:val="none"/>
          <w:lang w:val="en-US" w:eastAsia="zh-CN"/>
        </w:rPr>
        <w:t>100</w:t>
      </w:r>
      <w:r>
        <w:rPr>
          <w:rFonts w:hint="default" w:ascii="仿宋_GB2312" w:hAnsi="宋体" w:eastAsia="仿宋_GB2312" w:cs="宋体"/>
          <w:color w:val="auto"/>
          <w:kern w:val="0"/>
          <w:sz w:val="32"/>
          <w:szCs w:val="32"/>
          <w:highlight w:val="none"/>
          <w:lang w:eastAsia="zh-CN"/>
        </w:rPr>
        <w:t>分</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105" w:leftChars="50" w:right="0" w:rightChars="0" w:firstLine="480" w:firstLineChars="150"/>
        <w:textAlignment w:val="auto"/>
        <w:outlineLvl w:val="9"/>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（二）存在的问题及原因分析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left="105" w:leftChars="50" w:right="0" w:rightChars="0" w:firstLine="480" w:firstLineChars="150"/>
        <w:textAlignment w:val="auto"/>
        <w:outlineLvl w:val="9"/>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无</w:t>
      </w:r>
    </w:p>
    <w:p>
      <w:pPr>
        <w:spacing w:line="600" w:lineRule="exact"/>
        <w:ind w:firstLine="640" w:firstLineChars="200"/>
        <w:rPr>
          <w:color w:val="auto"/>
          <w:highlight w:val="none"/>
        </w:rPr>
      </w:pPr>
      <w:r>
        <w:rPr>
          <w:rFonts w:hint="eastAsia" w:ascii="黑体" w:hAnsi="黑体" w:eastAsia="黑体" w:cs="宋体"/>
          <w:color w:val="auto"/>
          <w:kern w:val="0"/>
          <w:sz w:val="32"/>
          <w:szCs w:val="32"/>
          <w:highlight w:val="none"/>
        </w:rPr>
        <w:t>六、措施建议</w:t>
      </w:r>
    </w:p>
    <w:p>
      <w:pPr>
        <w:keepNext w:val="0"/>
        <w:keepLines w:val="0"/>
        <w:pageBreakBefore w:val="0"/>
        <w:widowControl w:val="0"/>
        <w:kinsoku/>
        <w:wordWrap/>
        <w:overflowPunct/>
        <w:topLinePunct w:val="0"/>
        <w:autoSpaceDE/>
        <w:autoSpaceDN/>
        <w:bidi w:val="0"/>
        <w:adjustRightInd/>
        <w:snapToGrid/>
        <w:spacing w:line="540" w:lineRule="exact"/>
        <w:ind w:left="105" w:leftChars="50" w:right="0" w:rightChars="0" w:firstLine="480" w:firstLineChars="150"/>
        <w:textAlignment w:val="auto"/>
        <w:outlineLvl w:val="9"/>
        <w:rPr>
          <w:rFonts w:hint="eastAsia" w:ascii="楷体_GB2312" w:eastAsia="楷体_GB2312"/>
          <w:color w:val="auto"/>
          <w:sz w:val="32"/>
          <w:szCs w:val="32"/>
          <w:highlight w:val="none"/>
          <w:lang w:eastAsia="zh-CN"/>
        </w:rPr>
      </w:pPr>
      <w:r>
        <w:rPr>
          <w:rFonts w:hint="eastAsia" w:ascii="仿宋_GB2312" w:hAnsi="宋体" w:eastAsia="仿宋_GB2312" w:cs="宋体"/>
          <w:color w:val="auto"/>
          <w:kern w:val="0"/>
          <w:sz w:val="32"/>
          <w:szCs w:val="32"/>
          <w:highlight w:val="none"/>
          <w:lang w:val="en-US" w:eastAsia="zh-CN"/>
        </w:rPr>
        <w:t>无</w:t>
      </w:r>
    </w:p>
    <w:p>
      <w:pPr>
        <w:pStyle w:val="2"/>
        <w:ind w:left="0" w:leftChars="0" w:firstLine="0" w:firstLineChars="0"/>
        <w:jc w:val="both"/>
        <w:rPr>
          <w:rFonts w:hint="eastAsia"/>
          <w:color w:val="auto"/>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jc w:val="right"/>
        <w:textAlignment w:val="auto"/>
        <w:outlineLvl w:val="9"/>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北京市朝阳区人民政府小关街道办事处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jc w:val="center"/>
        <w:textAlignment w:val="auto"/>
        <w:outlineLvl w:val="9"/>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 xml:space="preserve">                </w:t>
      </w:r>
    </w:p>
    <w:p>
      <w:pPr>
        <w:rPr>
          <w:color w:val="auto"/>
          <w:highlight w:val="none"/>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楷体_GB2312">
    <w:altName w:val="楷体"/>
    <w:panose1 w:val="02010609030101010101"/>
    <w:charset w:val="86"/>
    <w:family w:val="swiss"/>
    <w:pitch w:val="default"/>
    <w:sig w:usb0="00000000" w:usb1="00000000" w:usb2="00000000" w:usb3="00000000" w:csb0="00040000" w:csb1="00000000"/>
  </w:font>
  <w:font w:name="Calibri Light">
    <w:panose1 w:val="020F0302020204030204"/>
    <w:charset w:val="00"/>
    <w:family w:val="decorative"/>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DejaVu Sans">
    <w:altName w:val="Trebuchet MS"/>
    <w:panose1 w:val="020B0603030804020204"/>
    <w:charset w:val="00"/>
    <w:family w:val="auto"/>
    <w:pitch w:val="default"/>
    <w:sig w:usb0="00000000" w:usb1="00000000" w:usb2="0A246029" w:usb3="0400200C" w:csb0="600001FF" w:csb1="DFFF0000"/>
  </w:font>
  <w:font w:name="方正隶书_GBK">
    <w:altName w:val="宋体"/>
    <w:panose1 w:val="02000000000000000000"/>
    <w:charset w:val="86"/>
    <w:family w:val="auto"/>
    <w:pitch w:val="default"/>
    <w:sig w:usb0="00000000" w:usb1="00000000" w:usb2="00000000" w:usb3="00000000" w:csb0="00040000" w:csb1="00000000"/>
  </w:font>
  <w:font w:name="方正魏碑_GBK">
    <w:altName w:val="宋体"/>
    <w:panose1 w:val="02000000000000000000"/>
    <w:charset w:val="86"/>
    <w:family w:val="auto"/>
    <w:pitch w:val="default"/>
    <w:sig w:usb0="00000000" w:usb1="00000000" w:usb2="00000000" w:usb3="00000000" w:csb0="00040000" w:csb1="00000000"/>
  </w:font>
  <w:font w:name="方正行楷_GBK">
    <w:altName w:val="宋体"/>
    <w:panose1 w:val="02000000000000000000"/>
    <w:charset w:val="86"/>
    <w:family w:val="auto"/>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方正细黑一_GBK">
    <w:altName w:val="黑体"/>
    <w:panose1 w:val="03000509000000000000"/>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Trebuchet MS">
    <w:panose1 w:val="020B0603020202020204"/>
    <w:charset w:val="00"/>
    <w:family w:val="auto"/>
    <w:pitch w:val="default"/>
    <w:sig w:usb0="00000687" w:usb1="00000000" w:usb2="00000000" w:usb3="00000000" w:csb0="2000009F" w:csb1="00000000"/>
  </w:font>
  <w:font w:name="隶书">
    <w:altName w:val="微软雅黑"/>
    <w:panose1 w:val="02010509060101010101"/>
    <w:charset w:val="86"/>
    <w:family w:val="auto"/>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 w:name="华文楷体">
    <w:altName w:val="宋体"/>
    <w:panose1 w:val="02010600040101010101"/>
    <w:charset w:val="86"/>
    <w:family w:val="auto"/>
    <w:pitch w:val="default"/>
    <w:sig w:usb0="00000000" w:usb1="00000000" w:usb2="00000000" w:usb3="00000000" w:csb0="0004009F" w:csb1="DFD70000"/>
  </w:font>
  <w:font w:name="Helvetica Neue">
    <w:altName w:val="Times New Roman"/>
    <w:panose1 w:val="00000000000000000000"/>
    <w:charset w:val="00"/>
    <w:family w:val="roman"/>
    <w:pitch w:val="default"/>
    <w:sig w:usb0="00000000" w:usb1="00000000" w:usb2="00000000" w:usb3="00000000" w:csb0="00040001" w:csb1="00000000"/>
  </w:font>
  <w:font w:name="Andalus">
    <w:altName w:val="Times New Roman"/>
    <w:panose1 w:val="02020603050405020304"/>
    <w:charset w:val="00"/>
    <w:family w:val="auto"/>
    <w:pitch w:val="default"/>
    <w:sig w:usb0="00000000" w:usb1="00000000" w:usb2="00000008" w:usb3="00000000" w:csb0="00000041" w:csb1="20080000"/>
  </w:font>
  <w:font w:name="华文隶书">
    <w:altName w:val="微软雅黑"/>
    <w:panose1 w:val="02010800040101010101"/>
    <w:charset w:val="86"/>
    <w:family w:val="auto"/>
    <w:pitch w:val="default"/>
    <w:sig w:usb0="00000000" w:usb1="00000000" w:usb2="00000000" w:usb3="00000000" w:csb0="00040000" w:csb1="00000000"/>
  </w:font>
  <w:font w:name="Segoe UI">
    <w:panose1 w:val="020B0502040204020203"/>
    <w:charset w:val="00"/>
    <w:family w:val="auto"/>
    <w:pitch w:val="default"/>
    <w:sig w:usb0="E4002EFF" w:usb1="C000E47F" w:usb2="00000009" w:usb3="00000000" w:csb0="200001FF" w:csb1="00000000"/>
  </w:font>
  <w:font w:name="var(--s-font-bas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- 1 -</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- 1 -</w:t>
                    </w:r>
                    <w:r>
                      <w:rPr>
                        <w:rFonts w:hint="eastAsia"/>
                        <w:sz w:val="18"/>
                        <w:lang w:eastAsia="zh-CN"/>
                      </w:rPr>
                      <w:fldChar w:fldCharType="end"/>
                    </w:r>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A6CB1F"/>
    <w:multiLevelType w:val="singleLevel"/>
    <w:tmpl w:val="67A6CB1F"/>
    <w:lvl w:ilvl="0" w:tentative="0">
      <w:start w:val="2"/>
      <w:numFmt w:val="chineseCounting"/>
      <w:suff w:val="nothing"/>
      <w:lvlText w:val="（%1）"/>
      <w:lvlJc w:val="left"/>
    </w:lvl>
  </w:abstractNum>
  <w:abstractNum w:abstractNumId="1">
    <w:nsid w:val="67AD9556"/>
    <w:multiLevelType w:val="singleLevel"/>
    <w:tmpl w:val="67AD9556"/>
    <w:lvl w:ilvl="0" w:tentative="0">
      <w:start w:val="2"/>
      <w:numFmt w:val="chineseCounting"/>
      <w:suff w:val="nothing"/>
      <w:lvlText w:val="（%1）"/>
      <w:lvlJc w:val="left"/>
    </w:lvl>
  </w:abstractNum>
  <w:abstractNum w:abstractNumId="2">
    <w:nsid w:val="67AD978C"/>
    <w:multiLevelType w:val="singleLevel"/>
    <w:tmpl w:val="67AD978C"/>
    <w:lvl w:ilvl="0" w:tentative="0">
      <w:start w:val="2"/>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D39DF"/>
    <w:rsid w:val="001C7834"/>
    <w:rsid w:val="0057202C"/>
    <w:rsid w:val="005E3946"/>
    <w:rsid w:val="00A5517A"/>
    <w:rsid w:val="00B03B70"/>
    <w:rsid w:val="00CF07EE"/>
    <w:rsid w:val="00E617B2"/>
    <w:rsid w:val="00F42C33"/>
    <w:rsid w:val="0AF62277"/>
    <w:rsid w:val="17867A1E"/>
    <w:rsid w:val="19381C9D"/>
    <w:rsid w:val="1A3A7BAD"/>
    <w:rsid w:val="1CFA34F8"/>
    <w:rsid w:val="255D778F"/>
    <w:rsid w:val="2F321339"/>
    <w:rsid w:val="3DFA317F"/>
    <w:rsid w:val="436915CE"/>
    <w:rsid w:val="44C90E6B"/>
    <w:rsid w:val="52C15E66"/>
    <w:rsid w:val="57237429"/>
    <w:rsid w:val="5B1D39DF"/>
    <w:rsid w:val="5B1F5C40"/>
    <w:rsid w:val="5E423AFE"/>
    <w:rsid w:val="67BD6AC7"/>
    <w:rsid w:val="69C91FDD"/>
    <w:rsid w:val="77CB0F5C"/>
    <w:rsid w:val="7A381256"/>
    <w:rsid w:val="7F941D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customStyle="1" w:styleId="2">
    <w:name w:val="样式 行距: 1.5 倍行距"/>
    <w:basedOn w:val="1"/>
    <w:unhideWhenUsed/>
    <w:qFormat/>
    <w:uiPriority w:val="0"/>
    <w:pPr>
      <w:spacing w:beforeAutospacing="1" w:afterAutospacing="1"/>
      <w:ind w:firstLine="482"/>
      <w:jc w:val="center"/>
    </w:pPr>
    <w:rPr>
      <w:rFonts w:hint="default"/>
      <w:b/>
      <w:sz w:val="21"/>
    </w:rPr>
  </w:style>
  <w:style w:type="paragraph" w:styleId="3">
    <w:name w:val="footer"/>
    <w:basedOn w:val="1"/>
    <w:qFormat/>
    <w:uiPriority w:val="0"/>
    <w:pPr>
      <w:tabs>
        <w:tab w:val="center" w:pos="4153"/>
        <w:tab w:val="right" w:pos="8306"/>
      </w:tabs>
      <w:snapToGrid w:val="0"/>
      <w:jc w:val="left"/>
    </w:pPr>
    <w:rPr>
      <w:sz w:val="18"/>
      <w:szCs w:val="20"/>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rPr>
  </w:style>
  <w:style w:type="character" w:customStyle="1" w:styleId="8">
    <w:name w:val="页眉 字符"/>
    <w:basedOn w:val="5"/>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75</Words>
  <Characters>430</Characters>
  <Lines>3</Lines>
  <Paragraphs>1</Paragraphs>
  <ScaleCrop>false</ScaleCrop>
  <LinksUpToDate>false</LinksUpToDate>
  <CharactersWithSpaces>504</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2024-01-18T03:00:00Z</dcterms:created>
  <dc:creator>Administrator</dc:creator>
  <cp:lastModifiedBy>admin</cp:lastModifiedBy>
  <cp:lastPrinted>2025-02-14T03:19:00Z</cp:lastPrinted>
  <dcterms:modified xsi:type="dcterms:W3CDTF">2025-08-29T01:11:42Z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